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B5" w:rsidRPr="005963B5" w:rsidRDefault="005963B5" w:rsidP="005963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963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Critères de facturation</w:t>
      </w:r>
    </w:p>
    <w:p w:rsidR="005963B5" w:rsidRPr="005963B5" w:rsidRDefault="005963B5" w:rsidP="005963B5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5B9BD5" w:themeColor="accent1"/>
          <w:sz w:val="26"/>
          <w:szCs w:val="26"/>
          <w:lang w:eastAsia="fr-FR"/>
        </w:rPr>
      </w:pPr>
      <w:r w:rsidRPr="005963B5">
        <w:rPr>
          <w:rFonts w:ascii="Cambria" w:eastAsia="Times New Roman" w:hAnsi="Cambria" w:cs="Times New Roman"/>
          <w:b/>
          <w:bCs/>
          <w:color w:val="5B9BD5" w:themeColor="accent1"/>
          <w:sz w:val="26"/>
          <w:szCs w:val="26"/>
          <w:lang w:eastAsia="fr-FR"/>
        </w:rPr>
        <w:t>Modalités de règlement</w:t>
      </w:r>
    </w:p>
    <w:p w:rsidR="005963B5" w:rsidRPr="005963B5" w:rsidRDefault="005963B5" w:rsidP="0059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963B5">
        <w:rPr>
          <w:rFonts w:ascii="Times New Roman" w:eastAsia="Times New Roman" w:hAnsi="Times New Roman" w:cs="Times New Roman"/>
          <w:sz w:val="18"/>
          <w:szCs w:val="18"/>
          <w:lang w:eastAsia="fr-FR"/>
        </w:rPr>
        <w:t>Le règlement de la Redevance d’Enlèvement des Ordures Ménagères (REOM) s’effectue en deux fois :</w:t>
      </w:r>
    </w:p>
    <w:p w:rsidR="005963B5" w:rsidRPr="005963B5" w:rsidRDefault="005963B5" w:rsidP="005963B5">
      <w:pPr>
        <w:numPr>
          <w:ilvl w:val="0"/>
          <w:numId w:val="1"/>
        </w:numPr>
        <w:spacing w:before="100" w:beforeAutospacing="1" w:after="100" w:afterAutospacing="1" w:line="240" w:lineRule="auto"/>
        <w:ind w:left="3900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963B5">
        <w:rPr>
          <w:rFonts w:ascii="Times New Roman" w:eastAsia="Times New Roman" w:hAnsi="Times New Roman" w:cs="Times New Roman"/>
          <w:sz w:val="18"/>
          <w:szCs w:val="18"/>
          <w:lang w:eastAsia="fr-FR"/>
        </w:rPr>
        <w:t>1ère facture en juillet pour la période du 1er janvier N au 30 juin N, situation appréciée au 1er janvier N.</w:t>
      </w:r>
    </w:p>
    <w:p w:rsidR="005963B5" w:rsidRPr="005963B5" w:rsidRDefault="005963B5" w:rsidP="005963B5">
      <w:pPr>
        <w:numPr>
          <w:ilvl w:val="0"/>
          <w:numId w:val="1"/>
        </w:numPr>
        <w:spacing w:before="100" w:beforeAutospacing="1" w:after="100" w:afterAutospacing="1" w:line="240" w:lineRule="auto"/>
        <w:ind w:left="3900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963B5">
        <w:rPr>
          <w:rFonts w:ascii="Times New Roman" w:eastAsia="Times New Roman" w:hAnsi="Times New Roman" w:cs="Times New Roman"/>
          <w:sz w:val="18"/>
          <w:szCs w:val="18"/>
          <w:lang w:eastAsia="fr-FR"/>
        </w:rPr>
        <w:t>2ème facture en janvier pour la période du 1er juillet N au 31 décembre N, situation appréciée au 1er juillet N.</w:t>
      </w:r>
    </w:p>
    <w:p w:rsidR="005963B5" w:rsidRPr="005963B5" w:rsidRDefault="005963B5" w:rsidP="0059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963B5">
        <w:rPr>
          <w:rFonts w:ascii="Times New Roman" w:eastAsia="Times New Roman" w:hAnsi="Times New Roman" w:cs="Times New Roman"/>
          <w:sz w:val="18"/>
          <w:szCs w:val="18"/>
          <w:lang w:eastAsia="fr-FR"/>
        </w:rPr>
        <w:t>Le règlement s’effectue par espèces ou chèque bancaire ou postal auprès de votre trésorerie.</w:t>
      </w:r>
    </w:p>
    <w:p w:rsidR="005963B5" w:rsidRPr="005963B5" w:rsidRDefault="005963B5" w:rsidP="005963B5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5B9BD5" w:themeColor="accent1"/>
          <w:sz w:val="36"/>
          <w:szCs w:val="36"/>
          <w:lang w:eastAsia="fr-FR"/>
        </w:rPr>
      </w:pPr>
      <w:r w:rsidRPr="005963B5">
        <w:rPr>
          <w:rFonts w:ascii="Cambria" w:eastAsia="Times New Roman" w:hAnsi="Cambria" w:cs="Times New Roman"/>
          <w:b/>
          <w:bCs/>
          <w:color w:val="5B9BD5" w:themeColor="accent1"/>
          <w:sz w:val="26"/>
          <w:szCs w:val="26"/>
          <w:lang w:eastAsia="fr-FR"/>
        </w:rPr>
        <w:t>Renseignements, réclamations, modifications</w:t>
      </w:r>
    </w:p>
    <w:p w:rsidR="005963B5" w:rsidRPr="005963B5" w:rsidRDefault="005963B5" w:rsidP="0059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963B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Tout </w:t>
      </w:r>
      <w:r w:rsidRPr="005963B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changement de situation</w:t>
      </w:r>
      <w:r w:rsidRPr="005963B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(naissance, décès, séparation, embauche...) est à déclarer auprès du SICTOM pour être pris en compte à la facturation suivante. (voir ) Toute </w:t>
      </w:r>
      <w:r w:rsidRPr="005963B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réclamation</w:t>
      </w:r>
      <w:r w:rsidRPr="005963B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concernant la facturation est à adresser au SICTOM, exclusivement par courrier, avec présentation de justificatifs, et seulement </w:t>
      </w:r>
      <w:r w:rsidRPr="005963B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dans les 60 jours</w:t>
      </w:r>
      <w:r w:rsidRPr="005963B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suivant la réception de la facture. Le règlement de facturation de la REOM est consultable et disponible au SICTOM Pontaumur-Pontgibaud et transmissible par voie informatique ou courrier sur simple demande.</w:t>
      </w:r>
    </w:p>
    <w:p w:rsidR="005963B5" w:rsidRPr="005963B5" w:rsidRDefault="005963B5" w:rsidP="005963B5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5B9BD5" w:themeColor="accent1"/>
          <w:sz w:val="36"/>
          <w:szCs w:val="36"/>
          <w:lang w:eastAsia="fr-FR"/>
        </w:rPr>
      </w:pPr>
      <w:r w:rsidRPr="005963B5">
        <w:rPr>
          <w:rFonts w:ascii="Cambria" w:eastAsia="Times New Roman" w:hAnsi="Cambria" w:cs="Times New Roman"/>
          <w:b/>
          <w:bCs/>
          <w:color w:val="5B9BD5" w:themeColor="accent1"/>
          <w:sz w:val="26"/>
          <w:szCs w:val="26"/>
          <w:lang w:eastAsia="fr-FR"/>
        </w:rPr>
        <w:t>Critères de facturation 2015</w:t>
      </w:r>
    </w:p>
    <w:p w:rsidR="005963B5" w:rsidRPr="005963B5" w:rsidRDefault="005963B5" w:rsidP="0059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963B5">
        <w:rPr>
          <w:rFonts w:ascii="Times New Roman" w:eastAsia="Times New Roman" w:hAnsi="Times New Roman" w:cs="Times New Roman"/>
          <w:sz w:val="18"/>
          <w:szCs w:val="18"/>
          <w:lang w:eastAsia="fr-FR"/>
        </w:rPr>
        <w:t>Les critères de facturation 2015 ont été arrêtés par délibération du comité syndical du 27 février 2015. La REOM est composée :</w:t>
      </w:r>
    </w:p>
    <w:p w:rsidR="005963B5" w:rsidRPr="005963B5" w:rsidRDefault="005963B5" w:rsidP="005963B5">
      <w:pPr>
        <w:numPr>
          <w:ilvl w:val="0"/>
          <w:numId w:val="2"/>
        </w:numPr>
        <w:spacing w:before="100" w:beforeAutospacing="1" w:after="100" w:afterAutospacing="1" w:line="240" w:lineRule="auto"/>
        <w:ind w:left="3900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963B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d’une </w:t>
      </w:r>
      <w:r w:rsidRPr="005963B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part fixe</w:t>
      </w:r>
      <w:r w:rsidRPr="005963B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pour les frais de gestion et de collecte incompressibles, fixée à </w:t>
      </w:r>
      <w:r w:rsidRPr="005963B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91€</w:t>
      </w:r>
      <w:r w:rsidRPr="005963B5">
        <w:rPr>
          <w:rFonts w:ascii="Times New Roman" w:eastAsia="Times New Roman" w:hAnsi="Times New Roman" w:cs="Times New Roman"/>
          <w:sz w:val="18"/>
          <w:szCs w:val="18"/>
          <w:lang w:eastAsia="fr-FR"/>
        </w:rPr>
        <w:t>,</w:t>
      </w:r>
    </w:p>
    <w:p w:rsidR="005963B5" w:rsidRPr="005963B5" w:rsidRDefault="005963B5" w:rsidP="005963B5">
      <w:pPr>
        <w:numPr>
          <w:ilvl w:val="0"/>
          <w:numId w:val="2"/>
        </w:numPr>
        <w:spacing w:before="100" w:beforeAutospacing="1" w:after="100" w:afterAutospacing="1" w:line="240" w:lineRule="auto"/>
        <w:ind w:left="3900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963B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d’une </w:t>
      </w:r>
      <w:r w:rsidRPr="005963B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part variable</w:t>
      </w:r>
      <w:r w:rsidRPr="005963B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concernant les dépenses liées au traitement des déchets. Cette part variable est constituée par un nombre de bases correspondant à la situation de chacun (collectivités, professionnels, particuliers…), la base étant fixée à </w:t>
      </w:r>
      <w:r w:rsidRPr="005963B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49€</w:t>
      </w:r>
      <w:r w:rsidRPr="005963B5">
        <w:rPr>
          <w:rFonts w:ascii="Times New Roman" w:eastAsia="Times New Roman" w:hAnsi="Times New Roman" w:cs="Times New Roman"/>
          <w:sz w:val="18"/>
          <w:szCs w:val="18"/>
          <w:lang w:eastAsia="fr-FR"/>
        </w:rPr>
        <w:t>.</w:t>
      </w:r>
    </w:p>
    <w:p w:rsidR="005963B5" w:rsidRPr="005963B5" w:rsidRDefault="005963B5" w:rsidP="0059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5963B5" w:rsidRPr="005963B5" w:rsidRDefault="005963B5" w:rsidP="0059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963B5">
        <w:rPr>
          <w:rFonts w:ascii="Times New Roman" w:eastAsia="Times New Roman" w:hAnsi="Times New Roman" w:cs="Times New Roman"/>
          <w:sz w:val="18"/>
          <w:szCs w:val="18"/>
          <w:lang w:eastAsia="fr-FR"/>
        </w:rPr>
        <w:t>Pour les habitants des bourgs des communes des Ancizes Comps et de Saint Georges de Mons, la mise à disposition d’un bac individuel OMR est facturée à hauteur de 2 €/an/foyer.</w:t>
      </w:r>
    </w:p>
    <w:p w:rsidR="005963B5" w:rsidRPr="005963B5" w:rsidRDefault="005963B5" w:rsidP="005963B5">
      <w:pPr>
        <w:spacing w:line="240" w:lineRule="auto"/>
        <w:ind w:left="5427" w:hanging="212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63B5">
        <w:rPr>
          <w:rFonts w:ascii="Times New Roman" w:eastAsia="Times New Roman" w:hAnsi="Times New Roman" w:cs="Times New Roman"/>
          <w:sz w:val="18"/>
          <w:szCs w:val="18"/>
          <w:lang w:eastAsia="fr-FR"/>
        </w:rPr>
        <w:pict/>
      </w:r>
      <w:r w:rsidRPr="005963B5">
        <w:rPr>
          <w:rFonts w:ascii="Gill Sans MT" w:eastAsia="Times New Roman" w:hAnsi="Gill Sans MT" w:cs="Times New Roman"/>
          <w:sz w:val="10"/>
          <w:szCs w:val="8"/>
          <w:lang w:eastAsia="fr-FR"/>
        </w:rPr>
        <w:t> </w:t>
      </w:r>
    </w:p>
    <w:tbl>
      <w:tblPr>
        <w:tblStyle w:val="Tramemoyenne1-Accent6"/>
        <w:tblW w:w="11165" w:type="dxa"/>
        <w:tblInd w:w="-150" w:type="dxa"/>
        <w:shd w:val="clear" w:color="auto" w:fill="70AD47" w:themeFill="accent6"/>
        <w:tblLook w:val="0400" w:firstRow="0" w:lastRow="0" w:firstColumn="0" w:lastColumn="0" w:noHBand="0" w:noVBand="1"/>
      </w:tblPr>
      <w:tblGrid>
        <w:gridCol w:w="5476"/>
        <w:gridCol w:w="3969"/>
        <w:gridCol w:w="1720"/>
      </w:tblGrid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76" w:type="dxa"/>
            <w:tcBorders>
              <w:top w:val="single" w:sz="8" w:space="0" w:color="93C571" w:themeColor="accent6" w:themeTint="BF"/>
              <w:left w:val="single" w:sz="8" w:space="0" w:color="93C571" w:themeColor="accent6" w:themeTint="BF"/>
              <w:bottom w:val="single" w:sz="8" w:space="0" w:color="93C571" w:themeColor="accent6" w:themeTint="BF"/>
            </w:tcBorders>
            <w:shd w:val="clear" w:color="auto" w:fill="70AD47" w:themeFill="accent6"/>
            <w:vAlign w:val="center"/>
            <w:hideMark/>
          </w:tcPr>
          <w:p w:rsidR="005963B5" w:rsidRPr="005963B5" w:rsidRDefault="005963B5" w:rsidP="005963B5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6"/>
                <w:lang w:eastAsia="fr-FR"/>
              </w:rPr>
              <w:t>CATEGORIES D’USAGERS</w:t>
            </w:r>
          </w:p>
        </w:tc>
        <w:tc>
          <w:tcPr>
            <w:tcW w:w="3969" w:type="dxa"/>
            <w:tcBorders>
              <w:top w:val="single" w:sz="8" w:space="0" w:color="93C571" w:themeColor="accent6" w:themeTint="BF"/>
              <w:bottom w:val="single" w:sz="8" w:space="0" w:color="93C571" w:themeColor="accent6" w:themeTint="BF"/>
            </w:tcBorders>
            <w:shd w:val="clear" w:color="auto" w:fill="70AD47" w:themeFill="accent6"/>
            <w:vAlign w:val="center"/>
            <w:hideMark/>
          </w:tcPr>
          <w:p w:rsidR="005963B5" w:rsidRPr="005963B5" w:rsidRDefault="005963B5" w:rsidP="005963B5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6"/>
                <w:lang w:eastAsia="fr-FR"/>
              </w:rPr>
              <w:t>CALCUL DE LA REOM 2013</w:t>
            </w:r>
          </w:p>
        </w:tc>
        <w:tc>
          <w:tcPr>
            <w:tcW w:w="1720" w:type="dxa"/>
            <w:tcBorders>
              <w:top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shd w:val="clear" w:color="auto" w:fill="70AD47" w:themeFill="accent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2"/>
                <w:lang w:eastAsia="fr-FR"/>
              </w:rPr>
              <w:t>Montant de la REOM 2015</w:t>
            </w:r>
          </w:p>
          <w:p w:rsidR="005963B5" w:rsidRPr="005963B5" w:rsidRDefault="005963B5" w:rsidP="005963B5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2"/>
                <w:lang w:eastAsia="fr-FR"/>
              </w:rPr>
              <w:t>(à titre indicatif)</w:t>
            </w:r>
          </w:p>
        </w:tc>
      </w:tr>
    </w:tbl>
    <w:p w:rsidR="005963B5" w:rsidRPr="005963B5" w:rsidRDefault="005963B5" w:rsidP="00596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63B5">
        <w:rPr>
          <w:rFonts w:ascii="Gill Sans MT" w:eastAsia="Times New Roman" w:hAnsi="Gill Sans MT" w:cs="Times New Roman"/>
          <w:sz w:val="10"/>
          <w:szCs w:val="24"/>
          <w:lang w:eastAsia="fr-FR"/>
        </w:rPr>
        <w:t> </w:t>
      </w:r>
    </w:p>
    <w:tbl>
      <w:tblPr>
        <w:tblStyle w:val="Tramemoyenne1-Accent3"/>
        <w:tblW w:w="11165" w:type="dxa"/>
        <w:tblInd w:w="-150" w:type="dxa"/>
        <w:tblLook w:val="0400" w:firstRow="0" w:lastRow="0" w:firstColumn="0" w:lastColumn="0" w:noHBand="0" w:noVBand="1"/>
      </w:tblPr>
      <w:tblGrid>
        <w:gridCol w:w="1824"/>
        <w:gridCol w:w="441"/>
        <w:gridCol w:w="3239"/>
        <w:gridCol w:w="983"/>
        <w:gridCol w:w="2977"/>
        <w:gridCol w:w="1701"/>
      </w:tblGrid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1165" w:type="dxa"/>
            <w:gridSpan w:val="6"/>
            <w:tcBorders>
              <w:top w:val="single" w:sz="8" w:space="0" w:color="BBBBBB" w:themeColor="accent3" w:themeTint="BF"/>
              <w:left w:val="single" w:sz="8" w:space="0" w:color="BBBBBB" w:themeColor="accent3" w:themeTint="BF"/>
              <w:bottom w:val="single" w:sz="8" w:space="0" w:color="BBBBBB" w:themeColor="accent3" w:themeTint="BF"/>
              <w:right w:val="single" w:sz="8" w:space="0" w:color="BBBBBB" w:themeColor="accent3" w:themeTint="BF"/>
            </w:tcBorders>
            <w:shd w:val="clear" w:color="auto" w:fill="92D050"/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6"/>
                <w:lang w:eastAsia="fr-FR"/>
              </w:rPr>
              <w:t>PARTICULIERS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824" w:type="dxa"/>
            <w:vMerge w:val="restart"/>
            <w:tcBorders>
              <w:top w:val="single" w:sz="8" w:space="0" w:color="BBBBBB" w:themeColor="accent3" w:themeTint="BF"/>
              <w:left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Foyers de</w:t>
            </w:r>
          </w:p>
        </w:tc>
        <w:tc>
          <w:tcPr>
            <w:tcW w:w="441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239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 personne</w:t>
            </w:r>
          </w:p>
        </w:tc>
        <w:tc>
          <w:tcPr>
            <w:tcW w:w="983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77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 base</w:t>
            </w:r>
          </w:p>
        </w:tc>
        <w:tc>
          <w:tcPr>
            <w:tcW w:w="1701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  <w:right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140€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  <w:vMerge/>
            <w:tcBorders>
              <w:top w:val="single" w:sz="8" w:space="0" w:color="BBBBBB" w:themeColor="accent3" w:themeTint="BF"/>
              <w:left w:val="single" w:sz="8" w:space="0" w:color="BBBBBB" w:themeColor="accent3" w:themeTint="BF"/>
              <w:bottom w:val="single" w:sz="8" w:space="0" w:color="BBBBBB" w:themeColor="accent3" w:themeTint="BF"/>
            </w:tcBorders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239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 personnes</w:t>
            </w:r>
          </w:p>
        </w:tc>
        <w:tc>
          <w:tcPr>
            <w:tcW w:w="983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77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 bases</w:t>
            </w:r>
          </w:p>
        </w:tc>
        <w:tc>
          <w:tcPr>
            <w:tcW w:w="1701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  <w:right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189€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0" w:type="auto"/>
            <w:vMerge/>
            <w:tcBorders>
              <w:top w:val="single" w:sz="8" w:space="0" w:color="BBBBBB" w:themeColor="accent3" w:themeTint="BF"/>
              <w:left w:val="single" w:sz="8" w:space="0" w:color="BBBBBB" w:themeColor="accent3" w:themeTint="BF"/>
              <w:bottom w:val="single" w:sz="8" w:space="0" w:color="BBBBBB" w:themeColor="accent3" w:themeTint="BF"/>
            </w:tcBorders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239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3 personnes</w:t>
            </w:r>
          </w:p>
        </w:tc>
        <w:tc>
          <w:tcPr>
            <w:tcW w:w="983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77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2,5 bases</w:t>
            </w:r>
          </w:p>
        </w:tc>
        <w:tc>
          <w:tcPr>
            <w:tcW w:w="1701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  <w:right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213,50€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  <w:vMerge/>
            <w:tcBorders>
              <w:top w:val="single" w:sz="8" w:space="0" w:color="BBBBBB" w:themeColor="accent3" w:themeTint="BF"/>
              <w:left w:val="single" w:sz="8" w:space="0" w:color="BBBBBB" w:themeColor="accent3" w:themeTint="BF"/>
              <w:bottom w:val="single" w:sz="8" w:space="0" w:color="BBBBBB" w:themeColor="accent3" w:themeTint="BF"/>
            </w:tcBorders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239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4 personnes et plus</w:t>
            </w:r>
          </w:p>
        </w:tc>
        <w:tc>
          <w:tcPr>
            <w:tcW w:w="983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77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3 bases</w:t>
            </w:r>
          </w:p>
        </w:tc>
        <w:tc>
          <w:tcPr>
            <w:tcW w:w="1701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  <w:right w:val="single" w:sz="8" w:space="0" w:color="BBBBBB" w:themeColor="accent3" w:themeTint="BF"/>
            </w:tcBorders>
            <w:shd w:val="clear" w:color="auto" w:fill="EDEDED" w:themeFill="accent3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238€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824" w:type="dxa"/>
            <w:tcBorders>
              <w:top w:val="single" w:sz="8" w:space="0" w:color="BBBBBB" w:themeColor="accent3" w:themeTint="BF"/>
              <w:left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C9C9C9" w:themeFill="accent3" w:themeFillTint="99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Résidences secondaires</w:t>
            </w:r>
          </w:p>
        </w:tc>
        <w:tc>
          <w:tcPr>
            <w:tcW w:w="441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C9C9C9" w:themeFill="accent3" w:themeFillTint="99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239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C9C9C9" w:themeFill="accent3" w:themeFillTint="99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3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C9C9C9" w:themeFill="accent3" w:themeFillTint="99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77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C9C9C9" w:themeFill="accent3" w:themeFillTint="99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 bases</w:t>
            </w:r>
          </w:p>
        </w:tc>
        <w:tc>
          <w:tcPr>
            <w:tcW w:w="1701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  <w:right w:val="single" w:sz="8" w:space="0" w:color="BBBBBB" w:themeColor="accent3" w:themeTint="BF"/>
            </w:tcBorders>
            <w:shd w:val="clear" w:color="auto" w:fill="C9C9C9" w:themeFill="accent3" w:themeFillTint="99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189€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824" w:type="dxa"/>
            <w:tcBorders>
              <w:top w:val="single" w:sz="8" w:space="0" w:color="BBBBBB" w:themeColor="accent3" w:themeTint="BF"/>
              <w:left w:val="single" w:sz="8" w:space="0" w:color="BBBBBB" w:themeColor="accent3" w:themeTint="BF"/>
              <w:bottom w:val="single" w:sz="8" w:space="0" w:color="BBBBBB" w:themeColor="accent3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Chambres meublées</w:t>
            </w:r>
          </w:p>
        </w:tc>
        <w:tc>
          <w:tcPr>
            <w:tcW w:w="441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3239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Sans cuisine louées à l’intérieur d’une maison ou immeuble</w:t>
            </w:r>
          </w:p>
        </w:tc>
        <w:tc>
          <w:tcPr>
            <w:tcW w:w="983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 base</w:t>
            </w:r>
          </w:p>
        </w:tc>
        <w:tc>
          <w:tcPr>
            <w:tcW w:w="1701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  <w:right w:val="single" w:sz="8" w:space="0" w:color="BBBBBB" w:themeColor="accent3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49€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824" w:type="dxa"/>
            <w:tcBorders>
              <w:top w:val="single" w:sz="8" w:space="0" w:color="BBBBBB" w:themeColor="accent3" w:themeTint="BF"/>
              <w:left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C9C9C9" w:themeFill="accent3" w:themeFillTint="99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Caravanes</w:t>
            </w:r>
          </w:p>
        </w:tc>
        <w:tc>
          <w:tcPr>
            <w:tcW w:w="441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C9C9C9" w:themeFill="accent3" w:themeFillTint="99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3239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C9C9C9" w:themeFill="accent3" w:themeFillTint="99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à usage privé</w:t>
            </w:r>
          </w:p>
        </w:tc>
        <w:tc>
          <w:tcPr>
            <w:tcW w:w="983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C9C9C9" w:themeFill="accent3" w:themeFillTint="99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</w:t>
            </w:r>
          </w:p>
        </w:tc>
        <w:tc>
          <w:tcPr>
            <w:tcW w:w="2977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</w:tcBorders>
            <w:shd w:val="clear" w:color="auto" w:fill="C9C9C9" w:themeFill="accent3" w:themeFillTint="99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8" w:space="0" w:color="BBBBBB" w:themeColor="accent3" w:themeTint="BF"/>
              <w:bottom w:val="single" w:sz="8" w:space="0" w:color="BBBBBB" w:themeColor="accent3" w:themeTint="BF"/>
              <w:right w:val="single" w:sz="8" w:space="0" w:color="BBBBBB" w:themeColor="accent3" w:themeTint="BF"/>
            </w:tcBorders>
            <w:shd w:val="clear" w:color="auto" w:fill="C9C9C9" w:themeFill="accent3" w:themeFillTint="99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91€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1165" w:type="dxa"/>
            <w:gridSpan w:val="6"/>
            <w:tcBorders>
              <w:top w:val="single" w:sz="8" w:space="0" w:color="BBBBBB" w:themeColor="accent3" w:themeTint="BF"/>
              <w:left w:val="single" w:sz="8" w:space="0" w:color="BBBBBB" w:themeColor="accent3" w:themeTint="BF"/>
              <w:bottom w:val="single" w:sz="8" w:space="0" w:color="BBBBBB" w:themeColor="accent3" w:themeTint="BF"/>
              <w:right w:val="single" w:sz="8" w:space="0" w:color="BBBBBB" w:themeColor="accent3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Pour les habitants des communes des Ancizes Comps et de Saint Georges de Mons, la mise à disposition d’un bac individuel OMR est facturée à hauteur de 2€/an/foyer.</w:t>
            </w:r>
          </w:p>
        </w:tc>
      </w:tr>
    </w:tbl>
    <w:p w:rsidR="005963B5" w:rsidRPr="005963B5" w:rsidRDefault="005963B5" w:rsidP="00596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63B5">
        <w:rPr>
          <w:rFonts w:ascii="Gill Sans MT" w:eastAsia="Times New Roman" w:hAnsi="Gill Sans MT" w:cs="Times New Roman"/>
          <w:sz w:val="10"/>
          <w:szCs w:val="24"/>
          <w:lang w:eastAsia="fr-FR"/>
        </w:rPr>
        <w:t> </w:t>
      </w:r>
    </w:p>
    <w:tbl>
      <w:tblPr>
        <w:tblStyle w:val="Tramemoyenne1-Accent5"/>
        <w:tblW w:w="11165" w:type="dxa"/>
        <w:tblInd w:w="-150" w:type="dxa"/>
        <w:tblLook w:val="0400" w:firstRow="0" w:lastRow="0" w:firstColumn="0" w:lastColumn="0" w:noHBand="0" w:noVBand="1"/>
      </w:tblPr>
      <w:tblGrid>
        <w:gridCol w:w="1790"/>
        <w:gridCol w:w="624"/>
        <w:gridCol w:w="3193"/>
        <w:gridCol w:w="976"/>
        <w:gridCol w:w="2916"/>
        <w:gridCol w:w="1666"/>
      </w:tblGrid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1165" w:type="dxa"/>
            <w:gridSpan w:val="6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00B0F0"/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6"/>
                <w:lang w:eastAsia="fr-FR"/>
              </w:rPr>
              <w:lastRenderedPageBreak/>
              <w:t>PROFESSIONNELS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794" w:type="dxa"/>
            <w:vMerge w:val="restart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Artisans</w:t>
            </w:r>
          </w:p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Micro-entreprises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 pers.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 base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140€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  <w:vMerge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 à 5 pers.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 bases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189€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0" w:type="auto"/>
            <w:vMerge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&gt; 5 pers.</w:t>
            </w:r>
          </w:p>
        </w:tc>
        <w:tc>
          <w:tcPr>
            <w:tcW w:w="5582" w:type="dxa"/>
            <w:gridSpan w:val="3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voir critères PME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794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Taxis Commerces ambulants</w:t>
            </w:r>
          </w:p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Laveries automatiques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 pers.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91€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794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Auto-entrepreneurs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91€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794" w:type="dxa"/>
            <w:vMerge w:val="restart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Commerces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Non alimentaires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 bases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189€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0" w:type="auto"/>
            <w:vMerge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Alimentaires*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variable basée sur le volume des bacs : 1 base = 60 litres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-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794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Professions libérales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12/13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 base par pers.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-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794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Hôtels restaurants*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variable basée sur le volume des bacs : 1 base = 60 litres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-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794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Bars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 base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140€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794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Tables d'hôtes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91€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794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Chambres d'hôtes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0,5 base par chambre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-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794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Chambres d’hôtes avec tables d’hôtes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0,5 base par chambre + 0,5 base pour  la table d’hôte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-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tcW w:w="1794" w:type="dxa"/>
            <w:vMerge w:val="restart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Locations saisonnières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Gîtes, meublés, mobil-home, etc. hors camping (moins de 8 semaines de location)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 base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140€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0" w:type="auto"/>
            <w:vMerge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Gîtes, meublés, mobil-home, etc. hors camping (plus  de 8 semaines de location)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 bases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189€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794" w:type="dxa"/>
            <w:vMerge w:val="restart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Campings*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Municipaux</w:t>
            </w:r>
          </w:p>
        </w:tc>
        <w:tc>
          <w:tcPr>
            <w:tcW w:w="5582" w:type="dxa"/>
            <w:gridSpan w:val="3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Comptés dans la part des communes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0" w:type="auto"/>
            <w:vMerge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Privés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variable selon le volume des bacs: 1base pour 60 litres</w:t>
            </w: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br/>
              <w:t>ET au prorata du temps d'ouverture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-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94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Villages vacances*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variable selon le volume des bacs: 1base pour 60 litres</w:t>
            </w: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br/>
              <w:t>ET au prorata du temps d'ouverture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-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794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Sites touristiques*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variable selon le volume des bacs: 1base pour 60 litres</w:t>
            </w: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br/>
              <w:t>ET au prorata du temps d'ouverture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-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94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EHPAD / Maisons de retraite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32 à 38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Critères PME pour les employés + 1 base par résident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-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94" w:type="dxa"/>
            <w:vMerge w:val="restart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Etablissements scolaires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24/25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Collèges / Maison familiale rurale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10 bases (entre 1 et 50 élèves)</w:t>
            </w: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br/>
              <w:t>15 bases (plus de 50 élèves)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581€</w:t>
            </w:r>
          </w:p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826€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  <w:vMerge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Collèges avec internat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30 bases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1 561€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0" w:type="auto"/>
            <w:vMerge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Lycées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30 bases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B4C6E7" w:themeFill="accent5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1 561€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794" w:type="dxa"/>
            <w:vMerge w:val="restart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PME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6 à 10 employés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3 bases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238€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0" w:type="auto"/>
            <w:vMerge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11 à 15 employés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5 bases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336€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  <w:vMerge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16 à 20 employés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10 bases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581€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0" w:type="auto"/>
            <w:vMerge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+ de 20 employés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20 bases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D9E2F3" w:themeFill="accent5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1 071€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tcW w:w="1794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Usines*</w:t>
            </w:r>
          </w:p>
        </w:tc>
        <w:tc>
          <w:tcPr>
            <w:tcW w:w="581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3208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7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29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variable basée sur le volume des bacs : 1 base = 60 litres</w:t>
            </w:r>
          </w:p>
        </w:tc>
        <w:tc>
          <w:tcPr>
            <w:tcW w:w="1674" w:type="dxa"/>
            <w:tcBorders>
              <w:top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-</w:t>
            </w:r>
          </w:p>
        </w:tc>
      </w:tr>
      <w:tr w:rsidR="005963B5" w:rsidRPr="005963B5" w:rsidTr="005963B5">
        <w:trPr>
          <w:trHeight w:val="270"/>
        </w:trPr>
        <w:tc>
          <w:tcPr>
            <w:tcW w:w="11165" w:type="dxa"/>
            <w:gridSpan w:val="6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5963B5" w:rsidRPr="005963B5" w:rsidRDefault="005963B5" w:rsidP="005963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4"/>
                <w:szCs w:val="16"/>
                <w:lang w:eastAsia="fr-FR"/>
              </w:rPr>
              <w:t>*Pour les professionnels concernés par une part variable au volume, un forfait minimum de 6 bases est appliqué pour les supermarchés, campings et sites touristiques, et de 2 bases pour les autres.</w:t>
            </w:r>
          </w:p>
          <w:p w:rsidR="005963B5" w:rsidRPr="005963B5" w:rsidRDefault="005963B5" w:rsidP="005963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4"/>
                <w:szCs w:val="16"/>
                <w:lang w:eastAsia="fr-FR"/>
              </w:rPr>
              <w:t>Tout professionnel certifié ISO 14001, en cours de certification ou justifiant d’un contrat de collecte pour une partie de ses déchets bénéficie d’une facturation de la part variable à demi-tarif.</w:t>
            </w:r>
          </w:p>
        </w:tc>
      </w:tr>
    </w:tbl>
    <w:p w:rsidR="005963B5" w:rsidRDefault="005963B5" w:rsidP="005963B5">
      <w:pPr>
        <w:spacing w:line="240" w:lineRule="auto"/>
        <w:rPr>
          <w:rFonts w:ascii="Gill Sans MT" w:eastAsia="Times New Roman" w:hAnsi="Gill Sans MT" w:cs="Times New Roman"/>
          <w:sz w:val="8"/>
          <w:szCs w:val="24"/>
          <w:lang w:eastAsia="fr-FR"/>
        </w:rPr>
      </w:pPr>
      <w:r w:rsidRPr="005963B5">
        <w:rPr>
          <w:rFonts w:ascii="Gill Sans MT" w:eastAsia="Times New Roman" w:hAnsi="Gill Sans MT" w:cs="Times New Roman"/>
          <w:sz w:val="8"/>
          <w:szCs w:val="24"/>
          <w:lang w:eastAsia="fr-FR"/>
        </w:rPr>
        <w:t> </w:t>
      </w:r>
    </w:p>
    <w:p w:rsidR="005963B5" w:rsidRDefault="005963B5" w:rsidP="005963B5">
      <w:pPr>
        <w:spacing w:line="240" w:lineRule="auto"/>
        <w:rPr>
          <w:rFonts w:ascii="Gill Sans MT" w:eastAsia="Times New Roman" w:hAnsi="Gill Sans MT" w:cs="Times New Roman"/>
          <w:sz w:val="8"/>
          <w:szCs w:val="24"/>
          <w:lang w:eastAsia="fr-FR"/>
        </w:rPr>
      </w:pPr>
    </w:p>
    <w:p w:rsidR="005963B5" w:rsidRDefault="005963B5" w:rsidP="005963B5">
      <w:pPr>
        <w:spacing w:line="240" w:lineRule="auto"/>
        <w:rPr>
          <w:rFonts w:ascii="Gill Sans MT" w:eastAsia="Times New Roman" w:hAnsi="Gill Sans MT" w:cs="Times New Roman"/>
          <w:sz w:val="8"/>
          <w:szCs w:val="24"/>
          <w:lang w:eastAsia="fr-FR"/>
        </w:rPr>
      </w:pPr>
    </w:p>
    <w:p w:rsidR="005963B5" w:rsidRDefault="005963B5" w:rsidP="005963B5">
      <w:pPr>
        <w:spacing w:line="240" w:lineRule="auto"/>
        <w:rPr>
          <w:rFonts w:ascii="Gill Sans MT" w:eastAsia="Times New Roman" w:hAnsi="Gill Sans MT" w:cs="Times New Roman"/>
          <w:sz w:val="8"/>
          <w:szCs w:val="24"/>
          <w:lang w:eastAsia="fr-FR"/>
        </w:rPr>
      </w:pPr>
    </w:p>
    <w:p w:rsidR="005963B5" w:rsidRDefault="005963B5" w:rsidP="005963B5">
      <w:pPr>
        <w:spacing w:line="240" w:lineRule="auto"/>
        <w:rPr>
          <w:rFonts w:ascii="Gill Sans MT" w:eastAsia="Times New Roman" w:hAnsi="Gill Sans MT" w:cs="Times New Roman"/>
          <w:sz w:val="8"/>
          <w:szCs w:val="24"/>
          <w:lang w:eastAsia="fr-FR"/>
        </w:rPr>
      </w:pPr>
    </w:p>
    <w:p w:rsidR="005963B5" w:rsidRDefault="005963B5" w:rsidP="005963B5">
      <w:pPr>
        <w:spacing w:line="240" w:lineRule="auto"/>
        <w:rPr>
          <w:rFonts w:ascii="Gill Sans MT" w:eastAsia="Times New Roman" w:hAnsi="Gill Sans MT" w:cs="Times New Roman"/>
          <w:sz w:val="8"/>
          <w:szCs w:val="24"/>
          <w:lang w:eastAsia="fr-FR"/>
        </w:rPr>
      </w:pPr>
    </w:p>
    <w:p w:rsidR="005963B5" w:rsidRDefault="005963B5" w:rsidP="005963B5">
      <w:pPr>
        <w:spacing w:line="240" w:lineRule="auto"/>
        <w:rPr>
          <w:rFonts w:ascii="Gill Sans MT" w:eastAsia="Times New Roman" w:hAnsi="Gill Sans MT" w:cs="Times New Roman"/>
          <w:sz w:val="8"/>
          <w:szCs w:val="24"/>
          <w:lang w:eastAsia="fr-FR"/>
        </w:rPr>
      </w:pPr>
    </w:p>
    <w:p w:rsidR="005963B5" w:rsidRPr="005963B5" w:rsidRDefault="005963B5" w:rsidP="00596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Style w:val="Tramemoyenne1-Accent4"/>
        <w:tblW w:w="11165" w:type="dxa"/>
        <w:tblInd w:w="-150" w:type="dxa"/>
        <w:tblLook w:val="0400" w:firstRow="0" w:lastRow="0" w:firstColumn="0" w:lastColumn="0" w:noHBand="0" w:noVBand="1"/>
      </w:tblPr>
      <w:tblGrid>
        <w:gridCol w:w="1795"/>
        <w:gridCol w:w="624"/>
        <w:gridCol w:w="3189"/>
        <w:gridCol w:w="976"/>
        <w:gridCol w:w="2912"/>
        <w:gridCol w:w="1669"/>
      </w:tblGrid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1165" w:type="dxa"/>
            <w:gridSpan w:val="6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7030A0"/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6"/>
                <w:lang w:eastAsia="fr-FR"/>
              </w:rPr>
              <w:lastRenderedPageBreak/>
              <w:t>COLLECTIVITES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799" w:type="dxa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F2CC" w:themeFill="accent4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Mairies</w:t>
            </w:r>
          </w:p>
        </w:tc>
        <w:tc>
          <w:tcPr>
            <w:tcW w:w="561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F2CC" w:themeFill="accent4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7126" w:type="dxa"/>
            <w:gridSpan w:val="3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F2CC" w:themeFill="accent4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Forfait par habitant</w:t>
            </w:r>
          </w:p>
        </w:tc>
        <w:tc>
          <w:tcPr>
            <w:tcW w:w="1679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F2CC" w:themeFill="accent4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10,80€ par habitant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799" w:type="dxa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E599" w:themeFill="accent4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Syndicats intercommunaux et communautés de communes</w:t>
            </w:r>
          </w:p>
        </w:tc>
        <w:tc>
          <w:tcPr>
            <w:tcW w:w="561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E599" w:themeFill="accent4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27/28</w:t>
            </w:r>
          </w:p>
        </w:tc>
        <w:tc>
          <w:tcPr>
            <w:tcW w:w="3212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E599" w:themeFill="accent4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1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E599" w:themeFill="accent4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33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E599" w:themeFill="accent4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 base par siège + 1 base par équipement</w:t>
            </w:r>
          </w:p>
        </w:tc>
        <w:tc>
          <w:tcPr>
            <w:tcW w:w="1679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E599" w:themeFill="accent4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-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799" w:type="dxa"/>
            <w:vMerge w:val="restar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F2CC" w:themeFill="accent4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Etablissements publics</w:t>
            </w:r>
          </w:p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Gendarmeries</w:t>
            </w:r>
          </w:p>
        </w:tc>
        <w:tc>
          <w:tcPr>
            <w:tcW w:w="561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F2CC" w:themeFill="accent4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212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F2CC" w:themeFill="accent4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&lt; 5 pers.</w:t>
            </w:r>
          </w:p>
        </w:tc>
        <w:tc>
          <w:tcPr>
            <w:tcW w:w="5593" w:type="dxa"/>
            <w:gridSpan w:val="3"/>
            <w:tcBorders>
              <w:top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F2CC" w:themeFill="accent4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Voir critères artisans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  <w:vMerge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</w:tcBorders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F2CC" w:themeFill="accent4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212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F2CC" w:themeFill="accent4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&gt; 5 pers.</w:t>
            </w:r>
          </w:p>
        </w:tc>
        <w:tc>
          <w:tcPr>
            <w:tcW w:w="5593" w:type="dxa"/>
            <w:gridSpan w:val="3"/>
            <w:tcBorders>
              <w:top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F2CC" w:themeFill="accent4" w:themeFillTint="33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Voir critères PME</w:t>
            </w:r>
          </w:p>
        </w:tc>
      </w:tr>
      <w:tr w:rsidR="005963B5" w:rsidRPr="005963B5" w:rsidTr="0059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799" w:type="dxa"/>
            <w:vMerge w:val="restar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E599" w:themeFill="accent4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Pompiers</w:t>
            </w:r>
          </w:p>
        </w:tc>
        <w:tc>
          <w:tcPr>
            <w:tcW w:w="561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E599" w:themeFill="accent4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3212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E599" w:themeFill="accent4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Centre d’intervention</w:t>
            </w:r>
          </w:p>
        </w:tc>
        <w:tc>
          <w:tcPr>
            <w:tcW w:w="981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E599" w:themeFill="accent4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33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E599" w:themeFill="accent4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 base</w:t>
            </w:r>
          </w:p>
        </w:tc>
        <w:tc>
          <w:tcPr>
            <w:tcW w:w="1679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E599" w:themeFill="accent4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140€</w:t>
            </w:r>
          </w:p>
        </w:tc>
      </w:tr>
      <w:tr w:rsidR="005963B5" w:rsidRPr="005963B5" w:rsidTr="0059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0" w:type="auto"/>
            <w:vMerge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</w:tcBorders>
            <w:vAlign w:val="center"/>
            <w:hideMark/>
          </w:tcPr>
          <w:p w:rsidR="005963B5" w:rsidRPr="005963B5" w:rsidRDefault="005963B5" w:rsidP="00596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E599" w:themeFill="accent4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3212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E599" w:themeFill="accent4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Centre de secours</w:t>
            </w:r>
          </w:p>
        </w:tc>
        <w:tc>
          <w:tcPr>
            <w:tcW w:w="981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E599" w:themeFill="accent4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Part fixe +</w:t>
            </w:r>
          </w:p>
        </w:tc>
        <w:tc>
          <w:tcPr>
            <w:tcW w:w="2933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</w:tcBorders>
            <w:shd w:val="clear" w:color="auto" w:fill="FFE599" w:themeFill="accent4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10 bases</w:t>
            </w:r>
          </w:p>
        </w:tc>
        <w:tc>
          <w:tcPr>
            <w:tcW w:w="1679" w:type="dxa"/>
            <w:tcBorders>
              <w:top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E599" w:themeFill="accent4" w:themeFillTint="66"/>
            <w:vAlign w:val="center"/>
            <w:hideMark/>
          </w:tcPr>
          <w:p w:rsidR="005963B5" w:rsidRPr="005963B5" w:rsidRDefault="005963B5" w:rsidP="005963B5">
            <w:pPr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5963B5">
              <w:rPr>
                <w:rFonts w:ascii="Gill Sans MT" w:hAnsi="Gill Sans MT" w:cs="Arial"/>
                <w:sz w:val="16"/>
                <w:szCs w:val="16"/>
                <w:lang w:eastAsia="fr-FR"/>
              </w:rPr>
              <w:t>581€</w:t>
            </w:r>
          </w:p>
        </w:tc>
      </w:tr>
    </w:tbl>
    <w:p w:rsidR="005963B5" w:rsidRPr="005963B5" w:rsidRDefault="005963B5" w:rsidP="00596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63B5">
        <w:rPr>
          <w:rFonts w:ascii="Gill Sans MT" w:eastAsia="Times New Roman" w:hAnsi="Gill Sans MT" w:cs="Times New Roman"/>
          <w:sz w:val="24"/>
          <w:szCs w:val="24"/>
          <w:lang w:eastAsia="fr-FR"/>
        </w:rPr>
        <w:t> </w:t>
      </w:r>
    </w:p>
    <w:p w:rsidR="00BF30CD" w:rsidRDefault="00BF30CD"/>
    <w:sectPr w:rsidR="00BF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412"/>
    <w:multiLevelType w:val="multilevel"/>
    <w:tmpl w:val="992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E2329"/>
    <w:multiLevelType w:val="multilevel"/>
    <w:tmpl w:val="1D12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B5"/>
    <w:rsid w:val="005963B5"/>
    <w:rsid w:val="00B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2F1F1-A5E6-4D98-ADF3-96FCE0D5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-Accent3">
    <w:name w:val="Medium Shading 1 Accent 3"/>
    <w:basedOn w:val="TableauNormal"/>
    <w:uiPriority w:val="63"/>
    <w:semiHidden/>
    <w:unhideWhenUsed/>
    <w:rsid w:val="005963B5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nil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963B5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nil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963B5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nil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963B5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nil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6726">
                      <w:marLeft w:val="33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Condat</dc:creator>
  <cp:keywords/>
  <dc:description/>
  <cp:lastModifiedBy>Mairie Condat</cp:lastModifiedBy>
  <cp:revision>1</cp:revision>
  <dcterms:created xsi:type="dcterms:W3CDTF">2016-01-13T10:25:00Z</dcterms:created>
  <dcterms:modified xsi:type="dcterms:W3CDTF">2016-01-13T10:26:00Z</dcterms:modified>
</cp:coreProperties>
</file>